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o:targetscreensize="1024,768">
      <v:fill r:id="rId2" o:title="image020" recolor="t" type="frame"/>
    </v:background>
  </w:background>
  <w:body>
    <w:p w:rsidR="009F0A3D" w:rsidRPr="009F0A3D" w:rsidRDefault="009F0A3D" w:rsidP="009F0A3D">
      <w:pPr>
        <w:jc w:val="center"/>
        <w:rPr>
          <w:rStyle w:val="a9"/>
          <w:b w:val="0"/>
          <w:sz w:val="28"/>
          <w:szCs w:val="28"/>
        </w:rPr>
      </w:pPr>
      <w:r w:rsidRPr="009F0A3D">
        <w:rPr>
          <w:rStyle w:val="a9"/>
          <w:rFonts w:hint="eastAsia"/>
          <w:b w:val="0"/>
          <w:sz w:val="28"/>
          <w:szCs w:val="28"/>
        </w:rPr>
        <w:t>ソーシャルデザインを目指すシナリオ</w:t>
      </w:r>
    </w:p>
    <w:p w:rsidR="009F0A3D" w:rsidRPr="00834507" w:rsidRDefault="009F0A3D" w:rsidP="009F0A3D">
      <w:pPr>
        <w:rPr>
          <w:rFonts w:asciiTheme="minorEastAsia" w:hAnsiTheme="minorEastAsia"/>
          <w:sz w:val="24"/>
          <w:szCs w:val="24"/>
        </w:rPr>
      </w:pPr>
      <w:r>
        <w:rPr>
          <w:b/>
          <w:bCs/>
        </w:rPr>
        <w:br/>
      </w:r>
      <w:r>
        <w:rPr>
          <w:rFonts w:asciiTheme="minorEastAsia" w:hAnsiTheme="minorEastAsia" w:hint="eastAsia"/>
          <w:sz w:val="24"/>
          <w:szCs w:val="24"/>
        </w:rPr>
        <w:t>ソーシャルデザイン機構は、</w:t>
      </w:r>
      <w:r w:rsidRPr="00834507">
        <w:rPr>
          <w:rFonts w:asciiTheme="minorEastAsia" w:hAnsiTheme="minorEastAsia" w:hint="eastAsia"/>
          <w:sz w:val="24"/>
          <w:szCs w:val="24"/>
        </w:rPr>
        <w:t>「</w:t>
      </w:r>
      <w:hyperlink r:id="rId7" w:history="1">
        <w:r w:rsidRPr="00834507">
          <w:rPr>
            <w:rStyle w:val="a7"/>
            <w:rFonts w:asciiTheme="minorEastAsia" w:hAnsiTheme="minorEastAsia" w:hint="eastAsia"/>
            <w:sz w:val="24"/>
            <w:szCs w:val="24"/>
          </w:rPr>
          <w:t>価格＋５％拠出金</w:t>
        </w:r>
      </w:hyperlink>
      <w:r w:rsidRPr="00834507">
        <w:rPr>
          <w:rFonts w:asciiTheme="minorEastAsia" w:hAnsiTheme="minorEastAsia" w:hint="eastAsia"/>
          <w:sz w:val="24"/>
          <w:szCs w:val="24"/>
        </w:rPr>
        <w:t>」という表示</w:t>
      </w:r>
      <w:r>
        <w:rPr>
          <w:rFonts w:asciiTheme="minorEastAsia" w:hAnsiTheme="minorEastAsia" w:hint="eastAsia"/>
          <w:sz w:val="24"/>
          <w:szCs w:val="24"/>
        </w:rPr>
        <w:t>による取引で生み出される∑拠出金で我が国が抱える膨大な借金の増加</w:t>
      </w:r>
      <w:r w:rsidRPr="00834507">
        <w:rPr>
          <w:rFonts w:asciiTheme="minorEastAsia" w:hAnsiTheme="minorEastAsia" w:hint="eastAsia"/>
          <w:sz w:val="24"/>
          <w:szCs w:val="24"/>
        </w:rPr>
        <w:t>を</w:t>
      </w:r>
      <w:r>
        <w:rPr>
          <w:rFonts w:asciiTheme="minorEastAsia" w:hAnsiTheme="minorEastAsia" w:hint="eastAsia"/>
          <w:sz w:val="24"/>
          <w:szCs w:val="24"/>
        </w:rPr>
        <w:t>くい止める下記シナリオの啓発</w:t>
      </w:r>
      <w:r w:rsidRPr="00834507">
        <w:rPr>
          <w:rFonts w:asciiTheme="minorEastAsia" w:hAnsiTheme="minorEastAsia" w:hint="eastAsia"/>
          <w:sz w:val="24"/>
          <w:szCs w:val="24"/>
        </w:rPr>
        <w:t>に</w:t>
      </w:r>
      <w:r>
        <w:rPr>
          <w:rFonts w:asciiTheme="minorEastAsia" w:hAnsiTheme="minorEastAsia" w:hint="eastAsia"/>
          <w:sz w:val="24"/>
          <w:szCs w:val="24"/>
        </w:rPr>
        <w:t>取り組んでいます</w:t>
      </w:r>
      <w:r w:rsidRPr="00834507">
        <w:rPr>
          <w:rFonts w:asciiTheme="minorEastAsia" w:hAnsiTheme="minorEastAsia" w:hint="eastAsia"/>
          <w:sz w:val="24"/>
          <w:szCs w:val="24"/>
        </w:rPr>
        <w:t>。</w:t>
      </w:r>
    </w:p>
    <w:p w:rsidR="009F0A3D" w:rsidRPr="00FC517C" w:rsidRDefault="009F0A3D" w:rsidP="009F0A3D"/>
    <w:p w:rsidR="009F0A3D" w:rsidRPr="003A5ECC" w:rsidRDefault="009F0A3D" w:rsidP="009F0A3D">
      <w:pPr>
        <w:rPr>
          <w:sz w:val="24"/>
          <w:szCs w:val="24"/>
        </w:rPr>
      </w:pPr>
      <w:r>
        <w:rPr>
          <w:rFonts w:asciiTheme="minorEastAsia" w:hAnsiTheme="minorEastAsia" w:hint="eastAsia"/>
          <w:sz w:val="24"/>
          <w:szCs w:val="24"/>
        </w:rPr>
        <w:t>この取り組み</w:t>
      </w:r>
      <w:r w:rsidRPr="003A5ECC">
        <w:rPr>
          <w:rFonts w:asciiTheme="minorEastAsia" w:hAnsiTheme="minorEastAsia" w:hint="eastAsia"/>
          <w:sz w:val="24"/>
          <w:szCs w:val="24"/>
        </w:rPr>
        <w:t>を世間に認知してもらうため、大津地方裁判所に訴状を提出しました。（</w:t>
      </w:r>
      <w:r w:rsidRPr="00181892">
        <w:rPr>
          <w:rFonts w:asciiTheme="minorEastAsia" w:hAnsiTheme="minorEastAsia"/>
          <w:sz w:val="24"/>
          <w:szCs w:val="24"/>
        </w:rPr>
        <w:t>事件番号</w:t>
      </w:r>
      <w:r w:rsidRPr="00181892">
        <w:rPr>
          <w:rFonts w:asciiTheme="minorEastAsia" w:hAnsiTheme="minorEastAsia" w:hint="eastAsia"/>
          <w:sz w:val="24"/>
          <w:szCs w:val="24"/>
        </w:rPr>
        <w:t>平成２９年</w:t>
      </w:r>
      <w:r w:rsidRPr="00181892">
        <w:rPr>
          <w:rFonts w:asciiTheme="minorEastAsia" w:hAnsiTheme="minorEastAsia"/>
          <w:sz w:val="24"/>
          <w:szCs w:val="24"/>
        </w:rPr>
        <w:t>（</w:t>
      </w:r>
      <w:r w:rsidRPr="00181892">
        <w:rPr>
          <w:rFonts w:asciiTheme="minorEastAsia" w:hAnsiTheme="minorEastAsia" w:hint="eastAsia"/>
          <w:sz w:val="24"/>
          <w:szCs w:val="24"/>
        </w:rPr>
        <w:t>行ウ</w:t>
      </w:r>
      <w:r w:rsidRPr="00181892">
        <w:rPr>
          <w:rFonts w:asciiTheme="minorEastAsia" w:hAnsiTheme="minorEastAsia"/>
          <w:sz w:val="24"/>
          <w:szCs w:val="24"/>
        </w:rPr>
        <w:t>）第</w:t>
      </w:r>
      <w:r w:rsidRPr="00181892">
        <w:rPr>
          <w:rFonts w:asciiTheme="minorEastAsia" w:hAnsiTheme="minorEastAsia" w:hint="eastAsia"/>
          <w:sz w:val="24"/>
          <w:szCs w:val="24"/>
        </w:rPr>
        <w:t>５</w:t>
      </w:r>
      <w:r w:rsidRPr="00181892">
        <w:rPr>
          <w:rFonts w:asciiTheme="minorEastAsia" w:hAnsiTheme="minorEastAsia"/>
          <w:sz w:val="24"/>
          <w:szCs w:val="24"/>
        </w:rPr>
        <w:t>号</w:t>
      </w:r>
      <w:r w:rsidRPr="003A5ECC">
        <w:rPr>
          <w:rFonts w:asciiTheme="minorEastAsia" w:hAnsiTheme="minorEastAsia" w:hint="eastAsia"/>
          <w:sz w:val="24"/>
          <w:szCs w:val="24"/>
        </w:rPr>
        <w:t>）</w:t>
      </w:r>
    </w:p>
    <w:p w:rsidR="009F0A3D" w:rsidRDefault="009F0A3D" w:rsidP="009F0A3D">
      <w:pPr>
        <w:rPr>
          <w:rStyle w:val="a7"/>
          <w:sz w:val="24"/>
          <w:szCs w:val="24"/>
        </w:rPr>
      </w:pPr>
    </w:p>
    <w:p w:rsidR="009F0A3D" w:rsidRPr="009F0A3D" w:rsidRDefault="009F0A3D" w:rsidP="009F0A3D">
      <w:pPr>
        <w:rPr>
          <w:rStyle w:val="a7"/>
          <w:color w:val="auto"/>
          <w:sz w:val="24"/>
          <w:szCs w:val="24"/>
          <w:u w:val="none"/>
        </w:rPr>
      </w:pPr>
      <w:r w:rsidRPr="009F0A3D">
        <w:rPr>
          <w:rStyle w:val="a7"/>
          <w:rFonts w:hint="eastAsia"/>
          <w:color w:val="auto"/>
          <w:sz w:val="24"/>
          <w:szCs w:val="24"/>
          <w:u w:val="none"/>
        </w:rPr>
        <w:t>この第５号の事件の結論は明白なので、結審を待たずに早い機会に原告から「民間が進めるソーシャルデザインに政府は阻害しないことを条件とする</w:t>
      </w:r>
      <w:r w:rsidRPr="009F0A3D">
        <w:rPr>
          <w:rFonts w:hint="eastAsia"/>
          <w:sz w:val="24"/>
          <w:szCs w:val="24"/>
        </w:rPr>
        <w:t>和解</w:t>
      </w:r>
      <w:r w:rsidRPr="009F0A3D">
        <w:rPr>
          <w:rStyle w:val="a7"/>
          <w:rFonts w:hint="eastAsia"/>
          <w:color w:val="auto"/>
          <w:sz w:val="24"/>
          <w:szCs w:val="24"/>
          <w:u w:val="none"/>
        </w:rPr>
        <w:t>」を提案し、ソーシャルデザイン構想のシナリオを考えています。</w:t>
      </w:r>
    </w:p>
    <w:p w:rsidR="009F0A3D" w:rsidRDefault="009F0A3D" w:rsidP="009F0A3D">
      <w:pPr>
        <w:rPr>
          <w:rStyle w:val="a7"/>
          <w:sz w:val="24"/>
          <w:szCs w:val="24"/>
        </w:rPr>
      </w:pPr>
    </w:p>
    <w:p w:rsidR="009F0A3D" w:rsidRPr="00FE5E7D" w:rsidRDefault="009F0A3D" w:rsidP="009F0A3D">
      <w:pPr>
        <w:jc w:val="left"/>
        <w:rPr>
          <w:rFonts w:asciiTheme="minorEastAsia" w:hAnsiTheme="minorEastAsia"/>
          <w:sz w:val="24"/>
          <w:szCs w:val="24"/>
        </w:rPr>
      </w:pPr>
      <w:r>
        <w:rPr>
          <w:rFonts w:asciiTheme="minorEastAsia" w:hAnsiTheme="minorEastAsia" w:hint="eastAsia"/>
          <w:sz w:val="24"/>
          <w:szCs w:val="24"/>
        </w:rPr>
        <w:t>Ａ　まず</w:t>
      </w:r>
      <w:hyperlink r:id="rId8" w:history="1">
        <w:r w:rsidRPr="00FE5E7D">
          <w:rPr>
            <w:rStyle w:val="a7"/>
            <w:rFonts w:asciiTheme="minorEastAsia" w:hAnsiTheme="minorEastAsia" w:hint="eastAsia"/>
            <w:sz w:val="24"/>
            <w:szCs w:val="24"/>
          </w:rPr>
          <w:t>借金時計</w:t>
        </w:r>
      </w:hyperlink>
      <w:r w:rsidRPr="00FE5E7D">
        <w:rPr>
          <w:rFonts w:asciiTheme="minorEastAsia" w:hAnsiTheme="minorEastAsia" w:hint="eastAsia"/>
          <w:sz w:val="24"/>
          <w:szCs w:val="24"/>
        </w:rPr>
        <w:t>を止める</w:t>
      </w:r>
    </w:p>
    <w:p w:rsidR="009F0A3D" w:rsidRPr="001F2B3D" w:rsidRDefault="009F0A3D" w:rsidP="009F0A3D">
      <w:pPr>
        <w:ind w:left="426" w:hanging="426"/>
        <w:rPr>
          <w:sz w:val="24"/>
          <w:szCs w:val="24"/>
        </w:rPr>
      </w:pPr>
      <w:r w:rsidRPr="001F2B3D">
        <w:rPr>
          <w:rFonts w:hint="eastAsia"/>
          <w:sz w:val="24"/>
          <w:szCs w:val="24"/>
        </w:rPr>
        <w:t>１．国民の個人金融資産（４００兆円）を活用して、</w:t>
      </w:r>
      <w:r w:rsidRPr="001F2B3D">
        <w:rPr>
          <w:rFonts w:asciiTheme="minorEastAsia" w:hAnsiTheme="minorEastAsia" w:hint="eastAsia"/>
          <w:spacing w:val="15"/>
          <w:sz w:val="24"/>
          <w:szCs w:val="24"/>
        </w:rPr>
        <w:t>税収不足を補うために発行される</w:t>
      </w:r>
      <w:r w:rsidRPr="001F2B3D">
        <w:rPr>
          <w:rFonts w:hint="eastAsia"/>
          <w:sz w:val="24"/>
          <w:szCs w:val="24"/>
        </w:rPr>
        <w:t>新規国債を国民が購入して国民の拠出金（５兆円／年）から利率２～１％でその利払いをする。</w:t>
      </w:r>
    </w:p>
    <w:p w:rsidR="009F0A3D" w:rsidRPr="001F2B3D" w:rsidRDefault="009F0A3D" w:rsidP="009F0A3D">
      <w:pPr>
        <w:ind w:left="210" w:hanging="210"/>
        <w:rPr>
          <w:sz w:val="24"/>
          <w:szCs w:val="24"/>
        </w:rPr>
      </w:pPr>
      <w:r w:rsidRPr="001F2B3D">
        <w:rPr>
          <w:rFonts w:hint="eastAsia"/>
          <w:sz w:val="24"/>
          <w:szCs w:val="24"/>
        </w:rPr>
        <w:t>２．５年据え置き後は市中金利</w:t>
      </w:r>
      <w:r w:rsidRPr="001F2B3D">
        <w:rPr>
          <w:rFonts w:hint="eastAsia"/>
          <w:sz w:val="24"/>
          <w:szCs w:val="24"/>
          <w:vertAlign w:val="superscript"/>
        </w:rPr>
        <w:t>＋</w:t>
      </w:r>
      <w:r w:rsidRPr="001F2B3D">
        <w:rPr>
          <w:rFonts w:hint="eastAsia"/>
          <w:sz w:val="24"/>
          <w:szCs w:val="24"/>
        </w:rPr>
        <w:t>で国民が自由に売買できるようにする。</w:t>
      </w:r>
    </w:p>
    <w:p w:rsidR="009F0A3D" w:rsidRPr="001F2B3D" w:rsidRDefault="009F0A3D" w:rsidP="009F0A3D">
      <w:pPr>
        <w:ind w:left="210" w:hanging="210"/>
        <w:rPr>
          <w:sz w:val="24"/>
          <w:szCs w:val="24"/>
        </w:rPr>
      </w:pPr>
      <w:r w:rsidRPr="001F2B3D">
        <w:rPr>
          <w:rFonts w:hint="eastAsia"/>
          <w:sz w:val="24"/>
          <w:szCs w:val="24"/>
        </w:rPr>
        <w:t>３．国等に行財政改革を迫り、その果実で国・地方債務の償還分元利を返済する。</w:t>
      </w:r>
    </w:p>
    <w:p w:rsidR="009F0A3D" w:rsidRDefault="009F0A3D" w:rsidP="009F0A3D">
      <w:pPr>
        <w:spacing w:line="360" w:lineRule="auto"/>
        <w:ind w:left="210"/>
        <w:rPr>
          <w:sz w:val="24"/>
          <w:szCs w:val="24"/>
        </w:rPr>
      </w:pPr>
    </w:p>
    <w:p w:rsidR="009F0A3D" w:rsidRDefault="009F0A3D" w:rsidP="009F0A3D">
      <w:pPr>
        <w:rPr>
          <w:rFonts w:asciiTheme="minorEastAsia" w:hAnsiTheme="minorEastAsia" w:cs="Arial"/>
          <w:sz w:val="24"/>
          <w:szCs w:val="24"/>
        </w:rPr>
      </w:pPr>
      <w:r>
        <w:rPr>
          <w:rFonts w:asciiTheme="minorEastAsia" w:hAnsiTheme="minorEastAsia" w:cs="Arial" w:hint="eastAsia"/>
          <w:sz w:val="24"/>
          <w:szCs w:val="24"/>
        </w:rPr>
        <w:t>Ｂ　政財界もソーシャルデザインする</w:t>
      </w:r>
    </w:p>
    <w:p w:rsidR="009F0A3D" w:rsidRPr="009F0A3D" w:rsidRDefault="009F0A3D" w:rsidP="009F0A3D">
      <w:pPr>
        <w:rPr>
          <w:rStyle w:val="a9"/>
          <w:rFonts w:asciiTheme="minorEastAsia" w:hAnsiTheme="minorEastAsia" w:cs="Arial"/>
          <w:b w:val="0"/>
          <w:sz w:val="24"/>
          <w:szCs w:val="24"/>
        </w:rPr>
      </w:pPr>
      <w:r w:rsidRPr="009F0A3D">
        <w:rPr>
          <w:rFonts w:asciiTheme="minorEastAsia" w:hAnsiTheme="minorEastAsia" w:cs="Arial" w:hint="eastAsia"/>
          <w:sz w:val="24"/>
          <w:szCs w:val="24"/>
        </w:rPr>
        <w:t>行政は、「</w:t>
      </w:r>
      <w:r w:rsidRPr="009F0A3D">
        <w:rPr>
          <w:rFonts w:asciiTheme="minorEastAsia" w:hAnsiTheme="minorEastAsia" w:cs="Arial"/>
          <w:sz w:val="24"/>
          <w:szCs w:val="24"/>
        </w:rPr>
        <w:t>実質</w:t>
      </w:r>
      <w:r w:rsidRPr="009F0A3D">
        <w:rPr>
          <w:rStyle w:val="a9"/>
          <w:rFonts w:asciiTheme="minorEastAsia" w:hAnsiTheme="minorEastAsia" w:cs="Arial"/>
          <w:b w:val="0"/>
          <w:sz w:val="24"/>
          <w:szCs w:val="24"/>
        </w:rPr>
        <w:t>経済成長率</w:t>
      </w:r>
      <w:r w:rsidRPr="009F0A3D">
        <w:rPr>
          <w:rFonts w:asciiTheme="minorEastAsia" w:hAnsiTheme="minorEastAsia" w:cs="Arial"/>
          <w:sz w:val="24"/>
          <w:szCs w:val="24"/>
        </w:rPr>
        <w:t xml:space="preserve"> + </w:t>
      </w:r>
      <w:r w:rsidRPr="009F0A3D">
        <w:rPr>
          <w:rStyle w:val="a9"/>
          <w:rFonts w:asciiTheme="minorEastAsia" w:hAnsiTheme="minorEastAsia" w:cs="Arial"/>
          <w:b w:val="0"/>
          <w:sz w:val="24"/>
          <w:szCs w:val="24"/>
        </w:rPr>
        <w:t>物価上昇</w:t>
      </w:r>
      <w:r w:rsidRPr="009F0A3D">
        <w:rPr>
          <w:rFonts w:asciiTheme="minorEastAsia" w:hAnsiTheme="minorEastAsia" w:cs="Arial"/>
          <w:sz w:val="24"/>
          <w:szCs w:val="24"/>
        </w:rPr>
        <w:t xml:space="preserve">率 </w:t>
      </w:r>
      <w:r w:rsidRPr="009F0A3D">
        <w:rPr>
          <w:rFonts w:asciiTheme="minorEastAsia" w:hAnsiTheme="minorEastAsia" w:cs="ＭＳ 明朝" w:hint="eastAsia"/>
          <w:sz w:val="24"/>
          <w:szCs w:val="24"/>
        </w:rPr>
        <w:t xml:space="preserve">＝ </w:t>
      </w:r>
      <w:r w:rsidRPr="009F0A3D">
        <w:rPr>
          <w:rFonts w:asciiTheme="minorEastAsia" w:hAnsiTheme="minorEastAsia" w:cs="Arial"/>
          <w:sz w:val="24"/>
          <w:szCs w:val="24"/>
        </w:rPr>
        <w:t>名目</w:t>
      </w:r>
      <w:r w:rsidRPr="009F0A3D">
        <w:rPr>
          <w:rStyle w:val="a9"/>
          <w:rFonts w:asciiTheme="minorEastAsia" w:hAnsiTheme="minorEastAsia" w:cs="Arial"/>
          <w:b w:val="0"/>
          <w:sz w:val="24"/>
          <w:szCs w:val="24"/>
        </w:rPr>
        <w:t>経済成長率</w:t>
      </w:r>
      <w:r w:rsidRPr="009F0A3D">
        <w:rPr>
          <w:rStyle w:val="a9"/>
          <w:rFonts w:asciiTheme="minorEastAsia" w:hAnsiTheme="minorEastAsia" w:cs="Arial" w:hint="eastAsia"/>
          <w:b w:val="0"/>
          <w:sz w:val="24"/>
          <w:szCs w:val="24"/>
        </w:rPr>
        <w:t>」で表したときの物価上昇率の目標値を掲げる政策が破綻しているところ、財政赤字の減額、行財政改革といった成果も成長率の算定根拠にするなど新しい発想で国家財政の舵取りをすべきである。</w:t>
      </w:r>
    </w:p>
    <w:p w:rsidR="009F0A3D" w:rsidRPr="009F0A3D" w:rsidRDefault="009F0A3D" w:rsidP="009F0A3D">
      <w:pPr>
        <w:rPr>
          <w:rStyle w:val="a9"/>
          <w:rFonts w:asciiTheme="minorEastAsia" w:hAnsiTheme="minorEastAsia" w:cs="Arial"/>
          <w:b w:val="0"/>
          <w:sz w:val="24"/>
          <w:szCs w:val="24"/>
        </w:rPr>
      </w:pPr>
    </w:p>
    <w:p w:rsidR="009F0A3D" w:rsidRPr="009F0A3D" w:rsidRDefault="009F0A3D" w:rsidP="009F0A3D">
      <w:pPr>
        <w:rPr>
          <w:rFonts w:asciiTheme="minorEastAsia" w:hAnsiTheme="minorEastAsia" w:cs="Arial"/>
          <w:sz w:val="24"/>
          <w:szCs w:val="24"/>
        </w:rPr>
      </w:pPr>
      <w:r w:rsidRPr="009F0A3D">
        <w:rPr>
          <w:rFonts w:asciiTheme="minorEastAsia" w:hAnsiTheme="minorEastAsia" w:cs="Arial" w:hint="eastAsia"/>
          <w:sz w:val="24"/>
          <w:szCs w:val="24"/>
        </w:rPr>
        <w:t>例えば生分解性プラスチック容器の実用化技術など、</w:t>
      </w:r>
      <w:r w:rsidRPr="009F0A3D">
        <w:rPr>
          <w:rStyle w:val="a9"/>
          <w:rFonts w:asciiTheme="minorEastAsia" w:hAnsiTheme="minorEastAsia" w:cs="Arial" w:hint="eastAsia"/>
          <w:b w:val="0"/>
          <w:sz w:val="24"/>
          <w:szCs w:val="24"/>
        </w:rPr>
        <w:t>格差の結果である産業界の内部留保金５００兆円を有効活用した我が国の</w:t>
      </w:r>
      <w:r w:rsidRPr="009F0A3D">
        <w:rPr>
          <w:rFonts w:asciiTheme="minorEastAsia" w:hAnsiTheme="minorEastAsia" w:cs="Arial" w:hint="eastAsia"/>
          <w:sz w:val="24"/>
          <w:szCs w:val="24"/>
        </w:rPr>
        <w:t>近未来像に考えを及ぼすべきである。</w:t>
      </w:r>
    </w:p>
    <w:p w:rsidR="009F0A3D" w:rsidRDefault="009F0A3D" w:rsidP="009F0A3D">
      <w:pPr>
        <w:rPr>
          <w:rFonts w:asciiTheme="minorEastAsia" w:hAnsiTheme="minorEastAsia" w:cs="Arial"/>
          <w:sz w:val="24"/>
          <w:szCs w:val="24"/>
        </w:rPr>
      </w:pPr>
    </w:p>
    <w:p w:rsidR="00BA1779" w:rsidRDefault="00BA1779" w:rsidP="009F0A3D">
      <w:pPr>
        <w:rPr>
          <w:rFonts w:asciiTheme="minorEastAsia" w:hAnsiTheme="minorEastAsia" w:cs="Arial" w:hint="eastAsia"/>
          <w:sz w:val="24"/>
          <w:szCs w:val="24"/>
        </w:rPr>
      </w:pPr>
      <w:r>
        <w:rPr>
          <w:rFonts w:asciiTheme="minorEastAsia" w:hAnsiTheme="minorEastAsia" w:cs="Arial" w:hint="eastAsia"/>
          <w:sz w:val="24"/>
          <w:szCs w:val="24"/>
        </w:rPr>
        <w:t>平成２９年７月１６日</w:t>
      </w:r>
    </w:p>
    <w:p w:rsidR="00BA1779" w:rsidRDefault="00BA1779" w:rsidP="009F0A3D">
      <w:pPr>
        <w:rPr>
          <w:rFonts w:asciiTheme="minorEastAsia" w:hAnsiTheme="minorEastAsia" w:cs="Arial" w:hint="eastAsia"/>
          <w:sz w:val="24"/>
          <w:szCs w:val="24"/>
        </w:rPr>
      </w:pPr>
      <w:hyperlink r:id="rId9" w:history="1">
        <w:r w:rsidRPr="00BA1779">
          <w:rPr>
            <w:rStyle w:val="a7"/>
            <w:rFonts w:asciiTheme="minorEastAsia" w:hAnsiTheme="minorEastAsia" w:cs="Arial" w:hint="eastAsia"/>
            <w:sz w:val="24"/>
            <w:szCs w:val="24"/>
          </w:rPr>
          <w:t>ソーシャルデザイン機構</w:t>
        </w:r>
      </w:hyperlink>
      <w:bookmarkStart w:id="0" w:name="_GoBack"/>
      <w:bookmarkEnd w:id="0"/>
    </w:p>
    <w:p w:rsidR="009F0A3D" w:rsidRPr="00106A62" w:rsidRDefault="009F0A3D" w:rsidP="009F0A3D">
      <w:pPr>
        <w:rPr>
          <w:rFonts w:asciiTheme="minorEastAsia" w:hAnsiTheme="minorEastAsia" w:cs="Arial"/>
          <w:sz w:val="24"/>
          <w:szCs w:val="24"/>
        </w:rPr>
      </w:pPr>
    </w:p>
    <w:p w:rsidR="009F0A3D" w:rsidRPr="00625BA9" w:rsidRDefault="009F0A3D" w:rsidP="009F0A3D">
      <w:pPr>
        <w:rPr>
          <w:rFonts w:asciiTheme="minorEastAsia" w:hAnsiTheme="minorEastAsia"/>
          <w:sz w:val="24"/>
          <w:szCs w:val="24"/>
        </w:rPr>
      </w:pPr>
    </w:p>
    <w:p w:rsidR="00AC0632" w:rsidRPr="009F0A3D" w:rsidRDefault="00AC0632" w:rsidP="009F0A3D"/>
    <w:sectPr w:rsidR="00AC0632" w:rsidRPr="009F0A3D" w:rsidSect="00BA1779">
      <w:pgSz w:w="11906" w:h="16838"/>
      <w:pgMar w:top="1985" w:right="1701" w:bottom="1701" w:left="1701" w:header="851" w:footer="992" w:gutter="0"/>
      <w:pgBorders w:offsetFrom="page">
        <w:top w:val="checkered" w:sz="10" w:space="24" w:color="2E74B5" w:themeColor="accent1" w:themeShade="BF"/>
        <w:left w:val="checkered" w:sz="10" w:space="24" w:color="2E74B5" w:themeColor="accent1" w:themeShade="BF"/>
        <w:bottom w:val="checkered" w:sz="10" w:space="24" w:color="2E74B5" w:themeColor="accent1" w:themeShade="BF"/>
        <w:right w:val="checkered" w:sz="10" w:space="24" w:color="2E74B5" w:themeColor="accent1" w:themeShade="BF"/>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6C4" w:rsidRDefault="007636C4" w:rsidP="00437751">
      <w:r>
        <w:separator/>
      </w:r>
    </w:p>
  </w:endnote>
  <w:endnote w:type="continuationSeparator" w:id="0">
    <w:p w:rsidR="007636C4" w:rsidRDefault="007636C4" w:rsidP="00437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6C4" w:rsidRDefault="007636C4" w:rsidP="00437751">
      <w:r>
        <w:separator/>
      </w:r>
    </w:p>
  </w:footnote>
  <w:footnote w:type="continuationSeparator" w:id="0">
    <w:p w:rsidR="007636C4" w:rsidRDefault="007636C4" w:rsidP="004377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5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451"/>
    <w:rsid w:val="00181892"/>
    <w:rsid w:val="001951A4"/>
    <w:rsid w:val="0037674A"/>
    <w:rsid w:val="00437751"/>
    <w:rsid w:val="00544088"/>
    <w:rsid w:val="00676903"/>
    <w:rsid w:val="006C01A4"/>
    <w:rsid w:val="007636C4"/>
    <w:rsid w:val="00817B2F"/>
    <w:rsid w:val="00866D89"/>
    <w:rsid w:val="009A3408"/>
    <w:rsid w:val="009F0A3D"/>
    <w:rsid w:val="00A53451"/>
    <w:rsid w:val="00A92E6D"/>
    <w:rsid w:val="00AC0632"/>
    <w:rsid w:val="00BA1779"/>
    <w:rsid w:val="00EF3C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38819D4B-EF1C-4943-B702-2E4FCA183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A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7751"/>
    <w:pPr>
      <w:tabs>
        <w:tab w:val="center" w:pos="4252"/>
        <w:tab w:val="right" w:pos="8504"/>
      </w:tabs>
      <w:snapToGrid w:val="0"/>
    </w:pPr>
  </w:style>
  <w:style w:type="character" w:customStyle="1" w:styleId="a4">
    <w:name w:val="ヘッダー (文字)"/>
    <w:basedOn w:val="a0"/>
    <w:link w:val="a3"/>
    <w:uiPriority w:val="99"/>
    <w:rsid w:val="00437751"/>
  </w:style>
  <w:style w:type="paragraph" w:styleId="a5">
    <w:name w:val="footer"/>
    <w:basedOn w:val="a"/>
    <w:link w:val="a6"/>
    <w:uiPriority w:val="99"/>
    <w:unhideWhenUsed/>
    <w:rsid w:val="00437751"/>
    <w:pPr>
      <w:tabs>
        <w:tab w:val="center" w:pos="4252"/>
        <w:tab w:val="right" w:pos="8504"/>
      </w:tabs>
      <w:snapToGrid w:val="0"/>
    </w:pPr>
  </w:style>
  <w:style w:type="character" w:customStyle="1" w:styleId="a6">
    <w:name w:val="フッター (文字)"/>
    <w:basedOn w:val="a0"/>
    <w:link w:val="a5"/>
    <w:uiPriority w:val="99"/>
    <w:rsid w:val="00437751"/>
  </w:style>
  <w:style w:type="character" w:styleId="a7">
    <w:name w:val="Hyperlink"/>
    <w:basedOn w:val="a0"/>
    <w:uiPriority w:val="99"/>
    <w:unhideWhenUsed/>
    <w:rsid w:val="00437751"/>
    <w:rPr>
      <w:color w:val="0563C1" w:themeColor="hyperlink"/>
      <w:u w:val="single"/>
    </w:rPr>
  </w:style>
  <w:style w:type="character" w:styleId="a8">
    <w:name w:val="FollowedHyperlink"/>
    <w:basedOn w:val="a0"/>
    <w:uiPriority w:val="99"/>
    <w:semiHidden/>
    <w:unhideWhenUsed/>
    <w:rsid w:val="00437751"/>
    <w:rPr>
      <w:color w:val="954F72" w:themeColor="followedHyperlink"/>
      <w:u w:val="single"/>
    </w:rPr>
  </w:style>
  <w:style w:type="character" w:styleId="a9">
    <w:name w:val="Strong"/>
    <w:basedOn w:val="a0"/>
    <w:uiPriority w:val="22"/>
    <w:qFormat/>
    <w:rsid w:val="009F0A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0511;&#37329;&#26178;&#35336;.net/" TargetMode="External"/><Relationship Id="rId3" Type="http://schemas.openxmlformats.org/officeDocument/2006/relationships/settings" Target="settings.xml"/><Relationship Id="rId7" Type="http://schemas.openxmlformats.org/officeDocument/2006/relationships/hyperlink" Target="http://www.selfdecl.jp/" TargetMode="External"/><Relationship Id="rId2" Type="http://schemas.openxmlformats.org/officeDocument/2006/relationships/image" Target="media/image1.gif"/><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elfdecl.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清水博</dc:creator>
  <cp:keywords/>
  <dc:description/>
  <cp:lastModifiedBy>清水博</cp:lastModifiedBy>
  <cp:revision>10</cp:revision>
  <dcterms:created xsi:type="dcterms:W3CDTF">2017-07-16T02:54:00Z</dcterms:created>
  <dcterms:modified xsi:type="dcterms:W3CDTF">2017-08-13T08:49:00Z</dcterms:modified>
</cp:coreProperties>
</file>